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 w:val="0"/>
        <w:snapToGrid w:val="0"/>
        <w:spacing w:before="98" w:line="224" w:lineRule="auto"/>
        <w:jc w:val="left"/>
        <w:outlineLvl w:val="1"/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7" w:line="56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color w:val="auto"/>
          <w:spacing w:val="8"/>
          <w:sz w:val="43"/>
          <w:szCs w:val="43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</w:rPr>
        <w:t>商务综合评分表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val="en-US" w:eastAsia="zh-CN"/>
        </w:rPr>
        <w:t>20分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eastAsia="zh-CN"/>
        </w:rPr>
        <w:t>）</w:t>
      </w:r>
    </w:p>
    <w:tbl>
      <w:tblPr>
        <w:tblStyle w:val="4"/>
        <w:tblpPr w:leftFromText="180" w:rightFromText="180" w:vertAnchor="text" w:horzAnchor="page" w:tblpX="1642" w:tblpY="196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15"/>
        <w:gridCol w:w="603"/>
        <w:gridCol w:w="2280"/>
        <w:gridCol w:w="2642"/>
        <w:gridCol w:w="1"/>
        <w:gridCol w:w="1013"/>
        <w:gridCol w:w="68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21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要素</w:t>
            </w:r>
          </w:p>
        </w:tc>
        <w:tc>
          <w:tcPr>
            <w:tcW w:w="6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228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要素要求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佐证材料</w:t>
            </w:r>
          </w:p>
        </w:tc>
        <w:tc>
          <w:tcPr>
            <w:tcW w:w="10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评分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标准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621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商务综合评分</w:t>
            </w:r>
          </w:p>
        </w:tc>
        <w:tc>
          <w:tcPr>
            <w:tcW w:w="10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产品市场涵盖</w:t>
            </w:r>
          </w:p>
        </w:tc>
        <w:tc>
          <w:tcPr>
            <w:tcW w:w="6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8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三甲以上公立综合性医院在用客户数量1家得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提供自采购文件对外公布之日起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近一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在全国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三甲以上公立综合性医院在用客户开具的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不同类别消毒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产品发票及该发票所对应的供货清单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0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分/家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企业认证体系及安全性评价</w:t>
            </w:r>
          </w:p>
        </w:tc>
        <w:tc>
          <w:tcPr>
            <w:tcW w:w="603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28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通过ISO9001质量管理体系认证</w:t>
            </w:r>
          </w:p>
        </w:tc>
        <w:tc>
          <w:tcPr>
            <w:tcW w:w="2643" w:type="dxa"/>
            <w:gridSpan w:val="2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应提供各种证书复印件，并加盖企业公章。如为外文材料，应附有中文翻译内容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0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通过国家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高新技术企业认定</w:t>
            </w:r>
          </w:p>
        </w:tc>
        <w:tc>
          <w:tcPr>
            <w:tcW w:w="2643" w:type="dxa"/>
            <w:gridSpan w:val="2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保障供应及伴随服务</w:t>
            </w:r>
          </w:p>
        </w:tc>
        <w:tc>
          <w:tcPr>
            <w:tcW w:w="603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28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要有适应临床使用的合理产品效期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不得提供临效期产品，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企业应提供质量和效期保障方案，专家根据方案可行性和完整性评分。</w:t>
            </w:r>
          </w:p>
        </w:tc>
        <w:tc>
          <w:tcPr>
            <w:tcW w:w="10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厂家具备强大供应链体系，急救耗材或紧急情况用耗材的配送不应超过4小时，一般耗材的配送不应超过48小时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提供拟配送企业配送能力证明材料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0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8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能提供临床技术服务和学术支持</w:t>
            </w:r>
          </w:p>
        </w:tc>
        <w:tc>
          <w:tcPr>
            <w:tcW w:w="264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提供伴随服务方案，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专家根据方案可行性和完整性评分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1分</w:t>
            </w:r>
          </w:p>
        </w:tc>
        <w:tc>
          <w:tcPr>
            <w:tcW w:w="68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88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60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提供质量跟踪及次品处理方案</w:t>
            </w:r>
          </w:p>
        </w:tc>
        <w:tc>
          <w:tcPr>
            <w:tcW w:w="2642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提供售后服务方案，至少包括性能验证、投诉处理、不良事件处理、售后服务流程、响应/处理时间、负责人及负责人电话、质量监管及处罚等。专家根据方案可行性和完整性评分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1分</w:t>
            </w:r>
          </w:p>
        </w:tc>
        <w:tc>
          <w:tcPr>
            <w:tcW w:w="68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88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60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保障售后服务完善性</w:t>
            </w:r>
          </w:p>
        </w:tc>
        <w:tc>
          <w:tcPr>
            <w:tcW w:w="2642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1分</w:t>
            </w:r>
          </w:p>
        </w:tc>
        <w:tc>
          <w:tcPr>
            <w:tcW w:w="68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00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产品检验程序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证明产品符合强制性标准和经注册或者备案的产品技术要求；每批次产品应具备检验记录</w:t>
            </w:r>
          </w:p>
        </w:tc>
        <w:tc>
          <w:tcPr>
            <w:tcW w:w="264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提供企业内部制定的产品检验规程，并出具产品检测报告或证书；提供检验记录，检验记录应包括进货检验、过程检验和成品检验的检验记录、报告或证书。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2分</w:t>
            </w:r>
          </w:p>
        </w:tc>
        <w:tc>
          <w:tcPr>
            <w:tcW w:w="68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50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产品追溯体系</w:t>
            </w:r>
          </w:p>
        </w:tc>
        <w:tc>
          <w:tcPr>
            <w:tcW w:w="6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每批次产品均有生产记录，并满足可追溯要求</w:t>
            </w:r>
          </w:p>
        </w:tc>
        <w:tc>
          <w:tcPr>
            <w:tcW w:w="264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提供半年内各批次产品的生产记录，及证明可追溯的相关材料。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1分 </w:t>
            </w:r>
          </w:p>
        </w:tc>
        <w:tc>
          <w:tcPr>
            <w:tcW w:w="68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50" w:hRule="atLeast"/>
        </w:trPr>
        <w:tc>
          <w:tcPr>
            <w:tcW w:w="621" w:type="dxa"/>
            <w:vMerge w:val="continue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生产环境</w:t>
            </w:r>
          </w:p>
        </w:tc>
        <w:tc>
          <w:tcPr>
            <w:tcW w:w="6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生产环境干净整洁</w:t>
            </w:r>
          </w:p>
        </w:tc>
        <w:tc>
          <w:tcPr>
            <w:tcW w:w="264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提供生产车间及周边环境相关材料，如图片、视频等。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1分</w:t>
            </w:r>
          </w:p>
        </w:tc>
        <w:tc>
          <w:tcPr>
            <w:tcW w:w="68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F0B1B"/>
    <w:rsid w:val="6DD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uppressAutoHyphens/>
      <w:spacing w:after="120" w:afterAutospacing="0"/>
      <w:jc w:val="both"/>
    </w:pPr>
    <w:rPr>
      <w:rFonts w:hint="default" w:ascii="Times New Roman" w:hAnsi="Calibri" w:eastAsia="宋体" w:cs="Times New Roman"/>
      <w:kern w:val="2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2025-02-10T15:31:00Z</dcterms:created>
  <dc:creator>sugon</dc:creator>
  <cp:lastModifiedBy>sugon</cp:lastModifiedBy>
  <dcterms:modified xsi:type="dcterms:W3CDTF">2025-02-10T15:33:27Z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6F2F26EFB825FBCD4DABA967F241D77D_41</vt:lpwstr>
  </property>
</Properties>
</file>