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BBBE">
      <w:pPr>
        <w:pStyle w:val="12"/>
        <w:rPr>
          <w:rFonts w:hint="default"/>
          <w:lang w:val="en-US"/>
        </w:rPr>
      </w:pPr>
      <w:r>
        <w:rPr>
          <w:rFonts w:hint="eastAsia" w:ascii="方正小标宋简体" w:hAnsi="方正小标宋简体" w:eastAsia="方正小标宋简体" w:cs="方正小标宋简体"/>
          <w:b/>
          <w:bCs/>
          <w:color w:val="404040"/>
          <w:sz w:val="30"/>
          <w:szCs w:val="30"/>
          <w:lang w:val="en-US" w:eastAsia="zh-CN"/>
        </w:rPr>
        <w:t>安阳市中医院财务信息化核心系统技术方案征询需求</w:t>
      </w:r>
      <w:bookmarkStart w:id="1" w:name="_GoBack"/>
      <w:bookmarkEnd w:id="1"/>
    </w:p>
    <w:p w14:paraId="13B381FB">
      <w:pPr>
        <w:widowControl/>
        <w:jc w:val="center"/>
        <w:rPr>
          <w:rFonts w:hint="eastAsia" w:ascii="宋体" w:hAnsi="宋体" w:eastAsia="宋体" w:cs="宋体"/>
          <w:b/>
          <w:bCs/>
          <w:color w:val="000000"/>
          <w:kern w:val="0"/>
          <w:sz w:val="24"/>
          <w:szCs w:val="24"/>
        </w:rPr>
      </w:pPr>
    </w:p>
    <w:tbl>
      <w:tblPr>
        <w:tblStyle w:val="15"/>
        <w:tblW w:w="9215" w:type="dxa"/>
        <w:tblInd w:w="-861" w:type="dxa"/>
        <w:tblLayout w:type="autofit"/>
        <w:tblCellMar>
          <w:top w:w="0" w:type="dxa"/>
          <w:left w:w="108" w:type="dxa"/>
          <w:bottom w:w="0" w:type="dxa"/>
          <w:right w:w="108" w:type="dxa"/>
        </w:tblCellMar>
      </w:tblPr>
      <w:tblGrid>
        <w:gridCol w:w="707"/>
        <w:gridCol w:w="1420"/>
        <w:gridCol w:w="7088"/>
      </w:tblGrid>
      <w:tr w14:paraId="63396911">
        <w:tblPrEx>
          <w:tblCellMar>
            <w:top w:w="0" w:type="dxa"/>
            <w:left w:w="108" w:type="dxa"/>
            <w:bottom w:w="0" w:type="dxa"/>
            <w:right w:w="108" w:type="dxa"/>
          </w:tblCellMar>
        </w:tblPrEx>
        <w:trPr>
          <w:trHeight w:val="593" w:hRule="atLeast"/>
        </w:trPr>
        <w:tc>
          <w:tcPr>
            <w:tcW w:w="707" w:type="dxa"/>
            <w:tcBorders>
              <w:top w:val="single" w:color="auto" w:sz="8" w:space="0"/>
              <w:left w:val="single" w:color="auto" w:sz="8" w:space="0"/>
              <w:bottom w:val="single" w:color="auto" w:sz="4" w:space="0"/>
              <w:right w:val="single" w:color="auto" w:sz="4" w:space="0"/>
            </w:tcBorders>
            <w:vAlign w:val="bottom"/>
          </w:tcPr>
          <w:p w14:paraId="7AD116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20" w:type="dxa"/>
            <w:tcBorders>
              <w:top w:val="single" w:color="auto" w:sz="8" w:space="0"/>
              <w:left w:val="nil"/>
              <w:bottom w:val="single" w:color="auto" w:sz="4" w:space="0"/>
              <w:right w:val="single" w:color="auto" w:sz="4" w:space="0"/>
            </w:tcBorders>
            <w:vAlign w:val="bottom"/>
          </w:tcPr>
          <w:p w14:paraId="426958F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系统模块</w:t>
            </w:r>
          </w:p>
        </w:tc>
        <w:tc>
          <w:tcPr>
            <w:tcW w:w="7088" w:type="dxa"/>
            <w:tcBorders>
              <w:top w:val="single" w:color="auto" w:sz="8" w:space="0"/>
              <w:left w:val="nil"/>
              <w:bottom w:val="single" w:color="auto" w:sz="4" w:space="0"/>
              <w:right w:val="single" w:color="auto" w:sz="4" w:space="0"/>
            </w:tcBorders>
            <w:vAlign w:val="bottom"/>
          </w:tcPr>
          <w:p w14:paraId="5E85DD1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w:t>
            </w:r>
            <w:r>
              <w:rPr>
                <w:rFonts w:hint="eastAsia" w:ascii="宋体" w:hAnsi="宋体" w:eastAsia="宋体" w:cs="宋体"/>
                <w:b/>
                <w:bCs/>
                <w:color w:val="000000"/>
                <w:kern w:val="0"/>
                <w:sz w:val="24"/>
                <w:szCs w:val="24"/>
                <w:lang w:val="en-US" w:eastAsia="zh-CN"/>
              </w:rPr>
              <w:t>需求</w:t>
            </w:r>
            <w:r>
              <w:rPr>
                <w:rFonts w:hint="eastAsia" w:ascii="宋体" w:hAnsi="宋体" w:eastAsia="宋体" w:cs="宋体"/>
                <w:b/>
                <w:bCs/>
                <w:color w:val="000000"/>
                <w:kern w:val="0"/>
                <w:sz w:val="24"/>
                <w:szCs w:val="24"/>
              </w:rPr>
              <w:t>说明</w:t>
            </w:r>
          </w:p>
        </w:tc>
      </w:tr>
      <w:tr w14:paraId="1ADBDB60">
        <w:tblPrEx>
          <w:tblCellMar>
            <w:top w:w="0" w:type="dxa"/>
            <w:left w:w="108" w:type="dxa"/>
            <w:bottom w:w="0" w:type="dxa"/>
            <w:right w:w="108" w:type="dxa"/>
          </w:tblCellMar>
        </w:tblPrEx>
        <w:trPr>
          <w:trHeight w:val="4710"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2C809714">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000000" w:fill="FFFFFF"/>
            <w:vAlign w:val="center"/>
          </w:tcPr>
          <w:p w14:paraId="5C30B54D">
            <w:pPr>
              <w:widowControl/>
              <w:rPr>
                <w:rFonts w:ascii="宋体" w:hAnsi="宋体" w:eastAsia="宋体" w:cs="宋体"/>
                <w:kern w:val="0"/>
                <w:sz w:val="24"/>
                <w:szCs w:val="24"/>
              </w:rPr>
            </w:pPr>
            <w:r>
              <w:rPr>
                <w:rFonts w:hint="eastAsia" w:ascii="宋体" w:hAnsi="宋体" w:eastAsia="宋体" w:cs="宋体"/>
                <w:kern w:val="0"/>
                <w:sz w:val="24"/>
                <w:szCs w:val="24"/>
              </w:rPr>
              <w:t>基础平台</w:t>
            </w:r>
          </w:p>
        </w:tc>
        <w:tc>
          <w:tcPr>
            <w:tcW w:w="7088" w:type="dxa"/>
            <w:tcBorders>
              <w:top w:val="nil"/>
              <w:left w:val="nil"/>
              <w:bottom w:val="single" w:color="auto" w:sz="4" w:space="0"/>
              <w:right w:val="single" w:color="auto" w:sz="4" w:space="0"/>
            </w:tcBorders>
            <w:shd w:val="clear" w:color="000000" w:fill="FFFFFF"/>
            <w:vAlign w:val="center"/>
          </w:tcPr>
          <w:p w14:paraId="53A83F69">
            <w:pPr>
              <w:widowControl/>
              <w:jc w:val="left"/>
              <w:rPr>
                <w:rFonts w:ascii="宋体" w:hAnsi="宋体" w:eastAsia="宋体" w:cs="宋体"/>
                <w:kern w:val="0"/>
                <w:szCs w:val="21"/>
              </w:rPr>
            </w:pPr>
            <w:r>
              <w:rPr>
                <w:rFonts w:hint="eastAsia" w:ascii="宋体" w:hAnsi="宋体" w:eastAsia="宋体" w:cs="宋体"/>
                <w:kern w:val="0"/>
                <w:szCs w:val="21"/>
              </w:rPr>
              <w:t>HRP基础平台，具备标准配置与二次开发功能，便于各类业务的系统化建设。</w:t>
            </w:r>
            <w:r>
              <w:rPr>
                <w:rFonts w:hint="eastAsia" w:ascii="宋体" w:hAnsi="宋体" w:eastAsia="宋体" w:cs="宋体"/>
                <w:kern w:val="0"/>
                <w:szCs w:val="21"/>
              </w:rPr>
              <w:br w:type="textWrapping"/>
            </w:r>
            <w:r>
              <w:rPr>
                <w:rFonts w:hint="eastAsia" w:ascii="宋体" w:hAnsi="宋体" w:eastAsia="宋体" w:cs="宋体"/>
                <w:kern w:val="0"/>
                <w:szCs w:val="21"/>
              </w:rPr>
              <w:t>1、具备多层架构。各层相互独立，可以分层独立扩展部署，升级改造，运维管理，互不影响。</w:t>
            </w:r>
            <w:r>
              <w:rPr>
                <w:rFonts w:hint="eastAsia" w:ascii="宋体" w:hAnsi="宋体" w:eastAsia="宋体" w:cs="宋体"/>
                <w:kern w:val="0"/>
                <w:szCs w:val="21"/>
              </w:rPr>
              <w:br w:type="textWrapping"/>
            </w:r>
            <w:r>
              <w:rPr>
                <w:rFonts w:hint="eastAsia" w:ascii="宋体" w:hAnsi="宋体" w:eastAsia="宋体" w:cs="宋体"/>
                <w:kern w:val="0"/>
                <w:szCs w:val="21"/>
              </w:rPr>
              <w:t>2、集群化部署，可以轻松实现横向扩展，提升系统的稳定性和性能。</w:t>
            </w:r>
            <w:r>
              <w:rPr>
                <w:rFonts w:hint="eastAsia" w:ascii="宋体" w:hAnsi="宋体" w:eastAsia="宋体" w:cs="宋体"/>
                <w:kern w:val="0"/>
                <w:szCs w:val="21"/>
              </w:rPr>
              <w:br w:type="textWrapping"/>
            </w:r>
            <w:r>
              <w:rPr>
                <w:rFonts w:hint="eastAsia" w:ascii="宋体" w:hAnsi="宋体" w:eastAsia="宋体" w:cs="宋体"/>
                <w:kern w:val="0"/>
                <w:szCs w:val="21"/>
              </w:rPr>
              <w:t>3、具备多态（PC、APP、小程序、公众号、展示大屏幕等）应用，后端服务共享统一。</w:t>
            </w:r>
            <w:r>
              <w:rPr>
                <w:rFonts w:hint="eastAsia" w:ascii="宋体" w:hAnsi="宋体" w:eastAsia="宋体" w:cs="宋体"/>
                <w:kern w:val="0"/>
                <w:szCs w:val="21"/>
              </w:rPr>
              <w:br w:type="textWrapping"/>
            </w:r>
            <w:r>
              <w:rPr>
                <w:rFonts w:hint="eastAsia" w:ascii="宋体" w:hAnsi="宋体" w:eastAsia="宋体" w:cs="宋体"/>
                <w:kern w:val="0"/>
                <w:szCs w:val="21"/>
              </w:rPr>
              <w:t>4、各子系统既可以统一集成又可以独立应用，满足系统整体规划，分步实施策略，实现无缝集成兼容。</w:t>
            </w:r>
            <w:r>
              <w:rPr>
                <w:rFonts w:hint="eastAsia" w:ascii="宋体" w:hAnsi="宋体" w:eastAsia="宋体" w:cs="宋体"/>
                <w:kern w:val="0"/>
                <w:szCs w:val="21"/>
              </w:rPr>
              <w:br w:type="textWrapping"/>
            </w:r>
            <w:r>
              <w:rPr>
                <w:rFonts w:hint="eastAsia" w:ascii="宋体" w:hAnsi="宋体" w:eastAsia="宋体" w:cs="宋体"/>
                <w:kern w:val="0"/>
                <w:szCs w:val="21"/>
              </w:rPr>
              <w:t>5、可以实现技术多样化，使用各类主流开发语言（JAVA，C#，PHP等）进行系统开发，达到无缝兼容。</w:t>
            </w:r>
            <w:r>
              <w:rPr>
                <w:rFonts w:hint="eastAsia" w:ascii="宋体" w:hAnsi="宋体" w:eastAsia="宋体" w:cs="宋体"/>
                <w:kern w:val="0"/>
                <w:szCs w:val="21"/>
              </w:rPr>
              <w:br w:type="textWrapping"/>
            </w:r>
            <w:r>
              <w:rPr>
                <w:rFonts w:hint="eastAsia" w:ascii="宋体" w:hAnsi="宋体" w:eastAsia="宋体" w:cs="宋体"/>
                <w:kern w:val="0"/>
                <w:szCs w:val="21"/>
              </w:rPr>
              <w:t>6、可以定制开发，能够随时进行功能完善及定制，快速满足需求，提升交付效率和质量。</w:t>
            </w:r>
            <w:r>
              <w:rPr>
                <w:rFonts w:hint="eastAsia" w:ascii="宋体" w:hAnsi="宋体" w:eastAsia="宋体" w:cs="宋体"/>
                <w:kern w:val="0"/>
                <w:szCs w:val="21"/>
              </w:rPr>
              <w:br w:type="textWrapping"/>
            </w:r>
            <w:r>
              <w:rPr>
                <w:rFonts w:hint="eastAsia" w:ascii="宋体" w:hAnsi="宋体" w:eastAsia="宋体" w:cs="宋体"/>
                <w:kern w:val="0"/>
                <w:szCs w:val="21"/>
              </w:rPr>
              <w:t>7、基于互联网架构模式，支持私有云与公有云部署。</w:t>
            </w:r>
            <w:r>
              <w:rPr>
                <w:rFonts w:hint="eastAsia" w:ascii="宋体" w:hAnsi="宋体" w:eastAsia="宋体" w:cs="宋体"/>
                <w:kern w:val="0"/>
                <w:szCs w:val="21"/>
              </w:rPr>
              <w:br w:type="textWrapping"/>
            </w:r>
            <w:r>
              <w:rPr>
                <w:rFonts w:hint="eastAsia" w:ascii="宋体" w:hAnsi="宋体" w:eastAsia="宋体" w:cs="宋体"/>
                <w:kern w:val="0"/>
                <w:szCs w:val="21"/>
              </w:rPr>
              <w:t>8、集成化，可以通过数据集成、应用集成、服务集成等各种集成方式，打通已有孤岛系统，既可以实现底层数据抽取、分析、应用及业务执行，也可以实现服务集成调用。同时可以通过数据应用平台和分析平台进行综合集成应用。</w:t>
            </w:r>
          </w:p>
        </w:tc>
      </w:tr>
      <w:tr w14:paraId="456101F4">
        <w:tblPrEx>
          <w:tblCellMar>
            <w:top w:w="0" w:type="dxa"/>
            <w:left w:w="108" w:type="dxa"/>
            <w:bottom w:w="0" w:type="dxa"/>
            <w:right w:w="108" w:type="dxa"/>
          </w:tblCellMar>
        </w:tblPrEx>
        <w:trPr>
          <w:trHeight w:val="1412"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7F7BABA4">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20" w:type="dxa"/>
            <w:tcBorders>
              <w:top w:val="nil"/>
              <w:left w:val="nil"/>
              <w:bottom w:val="single" w:color="auto" w:sz="4" w:space="0"/>
              <w:right w:val="single" w:color="auto" w:sz="4" w:space="0"/>
            </w:tcBorders>
            <w:shd w:val="clear" w:color="000000" w:fill="FFFFFF"/>
            <w:vAlign w:val="center"/>
          </w:tcPr>
          <w:p w14:paraId="4674B481">
            <w:pPr>
              <w:widowControl/>
              <w:jc w:val="center"/>
              <w:rPr>
                <w:rFonts w:ascii="宋体" w:hAnsi="宋体" w:eastAsia="宋体" w:cs="宋体"/>
                <w:kern w:val="0"/>
                <w:sz w:val="24"/>
                <w:szCs w:val="24"/>
              </w:rPr>
            </w:pPr>
            <w:r>
              <w:rPr>
                <w:rFonts w:hint="eastAsia" w:ascii="宋体" w:hAnsi="宋体" w:eastAsia="宋体" w:cs="宋体"/>
                <w:kern w:val="0"/>
                <w:sz w:val="24"/>
                <w:szCs w:val="24"/>
              </w:rPr>
              <w:t>全面预算</w:t>
            </w:r>
          </w:p>
        </w:tc>
        <w:tc>
          <w:tcPr>
            <w:tcW w:w="7088" w:type="dxa"/>
            <w:tcBorders>
              <w:top w:val="nil"/>
              <w:left w:val="nil"/>
              <w:bottom w:val="single" w:color="auto" w:sz="4" w:space="0"/>
              <w:right w:val="single" w:color="auto" w:sz="4" w:space="0"/>
            </w:tcBorders>
            <w:shd w:val="clear" w:color="000000" w:fill="FFFFFF"/>
            <w:vAlign w:val="center"/>
          </w:tcPr>
          <w:p w14:paraId="063D9182">
            <w:pPr>
              <w:widowControl/>
              <w:jc w:val="left"/>
              <w:rPr>
                <w:rFonts w:ascii="宋体" w:hAnsi="宋体" w:eastAsia="宋体" w:cs="宋体"/>
                <w:kern w:val="0"/>
                <w:szCs w:val="21"/>
              </w:rPr>
            </w:pPr>
            <w:r>
              <w:rPr>
                <w:rFonts w:hint="eastAsia" w:ascii="宋体" w:hAnsi="宋体" w:eastAsia="宋体" w:cs="宋体"/>
                <w:kern w:val="0"/>
                <w:szCs w:val="21"/>
              </w:rPr>
              <w:t>全面预算管理作为医院经济运行控制主线，主要包含业务预算、收入预算、支出预算、项目预算、采购预算、资金预算等内容。</w:t>
            </w:r>
            <w:r>
              <w:rPr>
                <w:rFonts w:hint="eastAsia" w:ascii="宋体" w:hAnsi="宋体" w:eastAsia="宋体" w:cs="宋体"/>
                <w:kern w:val="0"/>
                <w:szCs w:val="21"/>
              </w:rPr>
              <w:br w:type="textWrapping"/>
            </w:r>
            <w:r>
              <w:rPr>
                <w:rFonts w:hint="eastAsia" w:ascii="宋体" w:hAnsi="宋体" w:eastAsia="宋体" w:cs="宋体"/>
                <w:kern w:val="0"/>
                <w:szCs w:val="21"/>
              </w:rPr>
              <w:t>系统提供多种预算编制方法，支持自上而下、自下而上、N上M下的编制流程，所有预算编制均做到有据可依、科学编制；</w:t>
            </w:r>
            <w:r>
              <w:rPr>
                <w:rFonts w:hint="eastAsia" w:ascii="宋体" w:hAnsi="宋体" w:eastAsia="宋体" w:cs="宋体"/>
                <w:kern w:val="0"/>
                <w:szCs w:val="21"/>
              </w:rPr>
              <w:br w:type="textWrapping"/>
            </w:r>
            <w:r>
              <w:rPr>
                <w:rFonts w:hint="eastAsia" w:ascii="宋体" w:hAnsi="宋体" w:eastAsia="宋体" w:cs="宋体"/>
                <w:kern w:val="0"/>
                <w:szCs w:val="21"/>
              </w:rPr>
              <w:t>能够对预算的执行在各业务系统中进行实时监控，同时在预算系统中完成执行核销与预算执行分析；</w:t>
            </w:r>
            <w:r>
              <w:rPr>
                <w:rFonts w:hint="eastAsia" w:ascii="宋体" w:hAnsi="宋体" w:eastAsia="宋体" w:cs="宋体"/>
                <w:kern w:val="0"/>
                <w:szCs w:val="21"/>
              </w:rPr>
              <w:br w:type="textWrapping"/>
            </w:r>
            <w:r>
              <w:rPr>
                <w:rFonts w:hint="eastAsia" w:ascii="宋体" w:hAnsi="宋体" w:eastAsia="宋体" w:cs="宋体"/>
                <w:kern w:val="0"/>
                <w:szCs w:val="21"/>
              </w:rPr>
              <w:t>实现事前计划、事中监督、事后分析的管理模式。</w:t>
            </w:r>
            <w:r>
              <w:rPr>
                <w:rFonts w:hint="eastAsia" w:ascii="宋体" w:hAnsi="宋体" w:eastAsia="宋体" w:cs="宋体"/>
                <w:kern w:val="0"/>
                <w:szCs w:val="21"/>
              </w:rPr>
              <w:br w:type="textWrapping"/>
            </w:r>
            <w:r>
              <w:rPr>
                <w:rFonts w:hint="eastAsia" w:ascii="宋体" w:hAnsi="宋体" w:eastAsia="宋体" w:cs="宋体"/>
                <w:kern w:val="0"/>
                <w:szCs w:val="21"/>
              </w:rPr>
              <w:t>1、基础设置：包含预算单位、归口科室、预算科室、预算类别、预算指标、编制流程、预算表样、项目立项等内容。</w:t>
            </w:r>
            <w:r>
              <w:rPr>
                <w:rFonts w:hint="eastAsia" w:ascii="宋体" w:hAnsi="宋体" w:eastAsia="宋体" w:cs="宋体"/>
                <w:kern w:val="0"/>
                <w:szCs w:val="21"/>
              </w:rPr>
              <w:br w:type="textWrapping"/>
            </w:r>
            <w:r>
              <w:rPr>
                <w:rFonts w:hint="eastAsia" w:ascii="宋体" w:hAnsi="宋体" w:eastAsia="宋体" w:cs="宋体"/>
                <w:kern w:val="0"/>
                <w:szCs w:val="21"/>
              </w:rPr>
              <w:t>2、项目库管理： 项目申报支持对基本建设、大型设备购置和其他重点项目进行日常申报；</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项目论证支持多部门联合论证、党总支论证等充分论证后进入项目库储备库；</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项目库管理支持储备库、执行库、完成库、退出库。储备库中的项目支持预算编制时进行从库中挑选，</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项目作为预算编制与执行的数据源头。执行库中的项目支持通过预算号监控后续业务执行，查看等。</w:t>
            </w:r>
            <w:r>
              <w:rPr>
                <w:rFonts w:hint="eastAsia" w:ascii="宋体" w:hAnsi="宋体" w:eastAsia="宋体" w:cs="宋体"/>
                <w:kern w:val="0"/>
                <w:szCs w:val="21"/>
              </w:rPr>
              <w:br w:type="textWrapping"/>
            </w:r>
            <w:r>
              <w:rPr>
                <w:rFonts w:hint="eastAsia" w:ascii="宋体" w:hAnsi="宋体" w:eastAsia="宋体" w:cs="宋体"/>
                <w:kern w:val="0"/>
                <w:szCs w:val="21"/>
              </w:rPr>
              <w:t>3、预算任务：支持创建预算编制/调整任务。</w:t>
            </w:r>
            <w:r>
              <w:rPr>
                <w:rFonts w:hint="eastAsia" w:ascii="宋体" w:hAnsi="宋体" w:eastAsia="宋体" w:cs="宋体"/>
                <w:kern w:val="0"/>
                <w:szCs w:val="21"/>
              </w:rPr>
              <w:br w:type="textWrapping"/>
            </w:r>
            <w:r>
              <w:rPr>
                <w:rFonts w:hint="eastAsia" w:ascii="宋体" w:hAnsi="宋体" w:eastAsia="宋体" w:cs="宋体"/>
                <w:kern w:val="0"/>
                <w:szCs w:val="21"/>
              </w:rPr>
              <w:t>4、绩效目标：系统支持按照医院管理要求预置绩效指标库，支持定义预算绩效目标类型，并对绩效目标进行填报。</w:t>
            </w:r>
            <w:r>
              <w:rPr>
                <w:rFonts w:hint="eastAsia" w:ascii="宋体" w:hAnsi="宋体" w:eastAsia="宋体" w:cs="宋体"/>
                <w:kern w:val="0"/>
                <w:szCs w:val="21"/>
              </w:rPr>
              <w:br w:type="textWrapping"/>
            </w:r>
            <w:r>
              <w:rPr>
                <w:rFonts w:hint="eastAsia" w:ascii="宋体" w:hAnsi="宋体" w:eastAsia="宋体" w:cs="宋体"/>
                <w:kern w:val="0"/>
                <w:szCs w:val="21"/>
              </w:rPr>
              <w:t>5、预算编制：包含预算指标分配、科室填报、归口填报、院方填报、预算审批、预算编制情况一览表等内容。</w:t>
            </w:r>
            <w:r>
              <w:rPr>
                <w:rFonts w:hint="eastAsia" w:ascii="宋体" w:hAnsi="宋体" w:eastAsia="宋体" w:cs="宋体"/>
                <w:kern w:val="0"/>
                <w:szCs w:val="21"/>
              </w:rPr>
              <w:br w:type="textWrapping"/>
            </w:r>
            <w:r>
              <w:rPr>
                <w:rFonts w:hint="eastAsia" w:ascii="宋体" w:hAnsi="宋体" w:eastAsia="宋体" w:cs="宋体"/>
                <w:kern w:val="0"/>
                <w:szCs w:val="21"/>
              </w:rPr>
              <w:t>6、预算号管理：支持查看预算号的编制额/调整额/预算执行情况，以及设置预算号的启/停用。</w:t>
            </w:r>
            <w:r>
              <w:rPr>
                <w:rFonts w:hint="eastAsia" w:ascii="宋体" w:hAnsi="宋体" w:eastAsia="宋体" w:cs="宋体"/>
                <w:kern w:val="0"/>
                <w:szCs w:val="21"/>
              </w:rPr>
              <w:br w:type="textWrapping"/>
            </w:r>
            <w:r>
              <w:rPr>
                <w:rFonts w:hint="eastAsia" w:ascii="宋体" w:hAnsi="宋体" w:eastAsia="宋体" w:cs="宋体"/>
                <w:kern w:val="0"/>
                <w:szCs w:val="21"/>
              </w:rPr>
              <w:t>7、预算调整：支持预算中期调整与日常调整、预算调剂、项目预算追加。</w:t>
            </w:r>
            <w:r>
              <w:rPr>
                <w:rFonts w:hint="eastAsia" w:ascii="宋体" w:hAnsi="宋体" w:eastAsia="宋体" w:cs="宋体"/>
                <w:kern w:val="0"/>
                <w:szCs w:val="21"/>
              </w:rPr>
              <w:br w:type="textWrapping"/>
            </w:r>
            <w:r>
              <w:rPr>
                <w:rFonts w:hint="eastAsia" w:ascii="宋体" w:hAnsi="宋体" w:eastAsia="宋体" w:cs="宋体"/>
                <w:kern w:val="0"/>
                <w:szCs w:val="21"/>
              </w:rPr>
              <w:t>8、预算执行、分析：包含预算控制规则设置、预算执行申请、预算执行审批、预算科室/归口/全院执行分析表等内容。</w:t>
            </w:r>
          </w:p>
        </w:tc>
      </w:tr>
      <w:tr w14:paraId="4ECC21A7">
        <w:tblPrEx>
          <w:tblCellMar>
            <w:top w:w="0" w:type="dxa"/>
            <w:left w:w="108" w:type="dxa"/>
            <w:bottom w:w="0" w:type="dxa"/>
            <w:right w:w="108" w:type="dxa"/>
          </w:tblCellMar>
        </w:tblPrEx>
        <w:trPr>
          <w:trHeight w:val="3315" w:hRule="atLeast"/>
        </w:trPr>
        <w:tc>
          <w:tcPr>
            <w:tcW w:w="707" w:type="dxa"/>
            <w:vMerge w:val="restart"/>
            <w:tcBorders>
              <w:top w:val="nil"/>
              <w:left w:val="single" w:color="auto" w:sz="8" w:space="0"/>
              <w:bottom w:val="single" w:color="auto" w:sz="4" w:space="0"/>
              <w:right w:val="single" w:color="auto" w:sz="4" w:space="0"/>
            </w:tcBorders>
            <w:shd w:val="clear" w:color="000000" w:fill="FFFFFF"/>
            <w:vAlign w:val="center"/>
          </w:tcPr>
          <w:p w14:paraId="3594B5E0">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251220C1">
            <w:pPr>
              <w:widowControl/>
              <w:jc w:val="center"/>
              <w:rPr>
                <w:rFonts w:ascii="宋体" w:hAnsi="宋体" w:eastAsia="宋体" w:cs="宋体"/>
                <w:kern w:val="0"/>
                <w:sz w:val="24"/>
                <w:szCs w:val="24"/>
              </w:rPr>
            </w:pPr>
            <w:r>
              <w:rPr>
                <w:rFonts w:hint="eastAsia" w:ascii="宋体" w:hAnsi="宋体" w:eastAsia="宋体" w:cs="宋体"/>
                <w:kern w:val="0"/>
                <w:sz w:val="24"/>
                <w:szCs w:val="24"/>
              </w:rPr>
              <w:t>财务会计</w:t>
            </w:r>
          </w:p>
        </w:tc>
        <w:tc>
          <w:tcPr>
            <w:tcW w:w="7088" w:type="dxa"/>
            <w:tcBorders>
              <w:top w:val="nil"/>
              <w:left w:val="nil"/>
              <w:bottom w:val="single" w:color="auto" w:sz="4" w:space="0"/>
              <w:right w:val="single" w:color="auto" w:sz="4" w:space="0"/>
            </w:tcBorders>
            <w:shd w:val="clear" w:color="000000" w:fill="FFFFFF"/>
            <w:vAlign w:val="center"/>
          </w:tcPr>
          <w:p w14:paraId="437F3F70">
            <w:pPr>
              <w:widowControl/>
              <w:jc w:val="left"/>
              <w:rPr>
                <w:rFonts w:ascii="宋体" w:hAnsi="宋体" w:eastAsia="宋体" w:cs="宋体"/>
                <w:kern w:val="0"/>
                <w:szCs w:val="21"/>
              </w:rPr>
            </w:pPr>
            <w:r>
              <w:rPr>
                <w:rFonts w:hint="eastAsia" w:ascii="宋体" w:hAnsi="宋体" w:eastAsia="宋体" w:cs="宋体"/>
                <w:kern w:val="0"/>
                <w:szCs w:val="21"/>
              </w:rPr>
              <w:t>总账管理是财务人员进行会计业务处理的平台。会计核算包含凭证编制、账簿查询、报表编制、查询分析等。通过凭证自动化生成及入账，实现业财融合及一体化。</w:t>
            </w:r>
            <w:r>
              <w:rPr>
                <w:rFonts w:hint="eastAsia" w:ascii="宋体" w:hAnsi="宋体" w:eastAsia="宋体" w:cs="宋体"/>
                <w:kern w:val="0"/>
                <w:szCs w:val="21"/>
              </w:rPr>
              <w:br w:type="textWrapping"/>
            </w:r>
            <w:r>
              <w:rPr>
                <w:rFonts w:hint="eastAsia" w:ascii="宋体" w:hAnsi="宋体" w:eastAsia="宋体" w:cs="宋体"/>
                <w:kern w:val="0"/>
                <w:szCs w:val="21"/>
              </w:rPr>
              <w:t>1、支持进行凭证的录入及导入、审核、签字、记账、结账和打印等基本业务操作。凭证录入可以进行财务会计和预算会计平行记账。</w:t>
            </w:r>
            <w:r>
              <w:rPr>
                <w:rFonts w:hint="eastAsia" w:ascii="宋体" w:hAnsi="宋体" w:eastAsia="宋体" w:cs="宋体"/>
                <w:kern w:val="0"/>
                <w:szCs w:val="21"/>
              </w:rPr>
              <w:br w:type="textWrapping"/>
            </w:r>
            <w:r>
              <w:rPr>
                <w:rFonts w:hint="eastAsia" w:ascii="宋体" w:hAnsi="宋体" w:eastAsia="宋体" w:cs="宋体"/>
                <w:kern w:val="0"/>
                <w:szCs w:val="21"/>
              </w:rPr>
              <w:t>2、支持医院多种辅助核算，能够按照管理需求自定义辅助核算。</w:t>
            </w:r>
            <w:r>
              <w:rPr>
                <w:rFonts w:hint="eastAsia" w:ascii="宋体" w:hAnsi="宋体" w:eastAsia="宋体" w:cs="宋体"/>
                <w:kern w:val="0"/>
                <w:szCs w:val="21"/>
              </w:rPr>
              <w:br w:type="textWrapping"/>
            </w:r>
            <w:r>
              <w:rPr>
                <w:rFonts w:hint="eastAsia" w:ascii="宋体" w:hAnsi="宋体" w:eastAsia="宋体" w:cs="宋体"/>
                <w:kern w:val="0"/>
                <w:szCs w:val="21"/>
              </w:rPr>
              <w:t>3、能够满足医院执行政府会计制度的要求，支持凭证制作保存后进行自动核销或者手工核销往来款项。</w:t>
            </w:r>
            <w:r>
              <w:rPr>
                <w:rFonts w:hint="eastAsia" w:ascii="宋体" w:hAnsi="宋体" w:eastAsia="宋体" w:cs="宋体"/>
                <w:kern w:val="0"/>
                <w:szCs w:val="21"/>
              </w:rPr>
              <w:br w:type="textWrapping"/>
            </w:r>
            <w:r>
              <w:rPr>
                <w:rFonts w:hint="eastAsia" w:ascii="宋体" w:hAnsi="宋体" w:eastAsia="宋体" w:cs="宋体"/>
                <w:kern w:val="0"/>
                <w:szCs w:val="21"/>
              </w:rPr>
              <w:t>4、会计核算账务处理功能可以实现财务盈余与预算结余差异自动或手动标记，自动生成盈余与预算结余差异表。</w:t>
            </w:r>
            <w:r>
              <w:rPr>
                <w:rFonts w:hint="eastAsia" w:ascii="宋体" w:hAnsi="宋体" w:eastAsia="宋体" w:cs="宋体"/>
                <w:kern w:val="0"/>
                <w:szCs w:val="21"/>
              </w:rPr>
              <w:br w:type="textWrapping"/>
            </w:r>
            <w:r>
              <w:rPr>
                <w:rFonts w:hint="eastAsia" w:ascii="宋体" w:hAnsi="宋体" w:eastAsia="宋体" w:cs="宋体"/>
                <w:kern w:val="0"/>
                <w:szCs w:val="21"/>
              </w:rPr>
              <w:t>5、会计核算账务处理功能能够支持现金流量标注，自动生成现金流量表。</w:t>
            </w:r>
            <w:r>
              <w:rPr>
                <w:rFonts w:hint="eastAsia" w:ascii="宋体" w:hAnsi="宋体" w:eastAsia="宋体" w:cs="宋体"/>
                <w:kern w:val="0"/>
                <w:szCs w:val="21"/>
              </w:rPr>
              <w:br w:type="textWrapping"/>
            </w:r>
            <w:r>
              <w:rPr>
                <w:rFonts w:hint="eastAsia" w:ascii="宋体" w:hAnsi="宋体" w:eastAsia="宋体" w:cs="宋体"/>
                <w:kern w:val="0"/>
                <w:szCs w:val="21"/>
              </w:rPr>
              <w:t>6、总账接口可实现与HIS系统或其他系统对接，实现凭证的一键自动生成。</w:t>
            </w:r>
          </w:p>
          <w:p w14:paraId="6286F612">
            <w:pPr>
              <w:widowControl/>
              <w:jc w:val="left"/>
              <w:rPr>
                <w:rFonts w:ascii="宋体" w:hAnsi="宋体" w:eastAsia="宋体" w:cs="宋体"/>
                <w:kern w:val="0"/>
                <w:szCs w:val="21"/>
              </w:rPr>
            </w:pPr>
            <w:r>
              <w:rPr>
                <w:rFonts w:hint="eastAsia" w:ascii="宋体" w:hAnsi="宋体" w:eastAsia="宋体" w:cs="宋体"/>
                <w:kern w:val="0"/>
                <w:szCs w:val="21"/>
              </w:rPr>
              <w:t>7、满足出纳管理的需要，包括出纳的全部工作内容：现金银行出纳流水账登记、现金银行日记账管理等日常工作处理；同时支持不同银行对账单导入的标准化静态接口。包括银行初始、日记账、出纳账登记等信息。支持银医直连，方便后期扩展。</w:t>
            </w:r>
          </w:p>
        </w:tc>
      </w:tr>
      <w:tr w14:paraId="7664C294">
        <w:tblPrEx>
          <w:tblCellMar>
            <w:top w:w="0" w:type="dxa"/>
            <w:left w:w="108" w:type="dxa"/>
            <w:bottom w:w="0" w:type="dxa"/>
            <w:right w:w="108" w:type="dxa"/>
          </w:tblCellMar>
        </w:tblPrEx>
        <w:trPr>
          <w:trHeight w:val="660" w:hRule="atLeast"/>
        </w:trPr>
        <w:tc>
          <w:tcPr>
            <w:tcW w:w="707" w:type="dxa"/>
            <w:vMerge w:val="continue"/>
            <w:tcBorders>
              <w:top w:val="nil"/>
              <w:left w:val="single" w:color="auto" w:sz="8" w:space="0"/>
              <w:bottom w:val="single" w:color="auto" w:sz="4" w:space="0"/>
              <w:right w:val="single" w:color="auto" w:sz="4" w:space="0"/>
            </w:tcBorders>
            <w:vAlign w:val="center"/>
          </w:tcPr>
          <w:p w14:paraId="727E5ECA">
            <w:pPr>
              <w:widowControl/>
              <w:jc w:val="left"/>
              <w:rPr>
                <w:rFonts w:ascii="宋体" w:hAnsi="宋体" w:eastAsia="宋体" w:cs="宋体"/>
                <w:kern w:val="0"/>
                <w:szCs w:val="21"/>
              </w:rPr>
            </w:pPr>
          </w:p>
        </w:tc>
        <w:tc>
          <w:tcPr>
            <w:tcW w:w="1420" w:type="dxa"/>
            <w:vMerge w:val="continue"/>
            <w:tcBorders>
              <w:top w:val="nil"/>
              <w:left w:val="single" w:color="auto" w:sz="4" w:space="0"/>
              <w:bottom w:val="single" w:color="auto" w:sz="4" w:space="0"/>
              <w:right w:val="single" w:color="auto" w:sz="4" w:space="0"/>
            </w:tcBorders>
            <w:vAlign w:val="center"/>
          </w:tcPr>
          <w:p w14:paraId="75077074">
            <w:pPr>
              <w:widowControl/>
              <w:jc w:val="left"/>
              <w:rPr>
                <w:rFonts w:ascii="宋体" w:hAnsi="宋体" w:eastAsia="宋体" w:cs="宋体"/>
                <w:kern w:val="0"/>
                <w:sz w:val="24"/>
                <w:szCs w:val="24"/>
              </w:rPr>
            </w:pPr>
          </w:p>
        </w:tc>
        <w:tc>
          <w:tcPr>
            <w:tcW w:w="7088" w:type="dxa"/>
            <w:tcBorders>
              <w:top w:val="nil"/>
              <w:left w:val="nil"/>
              <w:bottom w:val="single" w:color="auto" w:sz="4" w:space="0"/>
              <w:right w:val="single" w:color="auto" w:sz="4" w:space="0"/>
            </w:tcBorders>
            <w:shd w:val="clear" w:color="000000" w:fill="FFFFFF"/>
            <w:vAlign w:val="center"/>
          </w:tcPr>
          <w:p w14:paraId="397202C2">
            <w:pPr>
              <w:widowControl/>
              <w:jc w:val="left"/>
              <w:rPr>
                <w:rFonts w:ascii="宋体" w:hAnsi="宋体" w:eastAsia="宋体" w:cs="宋体"/>
                <w:kern w:val="0"/>
                <w:szCs w:val="21"/>
              </w:rPr>
            </w:pPr>
            <w:r>
              <w:rPr>
                <w:rFonts w:hint="eastAsia" w:ascii="宋体" w:hAnsi="宋体" w:eastAsia="宋体" w:cs="宋体"/>
                <w:kern w:val="0"/>
                <w:szCs w:val="21"/>
              </w:rPr>
              <w:t>总账接口目的是将异构系统中需要财务核算的数据进行获取，在总账中自动生成凭证，提高财务自动化水平。</w:t>
            </w:r>
          </w:p>
        </w:tc>
      </w:tr>
      <w:tr w14:paraId="510AFB20">
        <w:tblPrEx>
          <w:tblCellMar>
            <w:top w:w="0" w:type="dxa"/>
            <w:left w:w="108" w:type="dxa"/>
            <w:bottom w:w="0" w:type="dxa"/>
            <w:right w:w="108" w:type="dxa"/>
          </w:tblCellMar>
        </w:tblPrEx>
        <w:trPr>
          <w:trHeight w:val="1110" w:hRule="atLeast"/>
        </w:trPr>
        <w:tc>
          <w:tcPr>
            <w:tcW w:w="707" w:type="dxa"/>
            <w:vMerge w:val="continue"/>
            <w:tcBorders>
              <w:top w:val="nil"/>
              <w:left w:val="single" w:color="auto" w:sz="8" w:space="0"/>
              <w:bottom w:val="single" w:color="auto" w:sz="4" w:space="0"/>
              <w:right w:val="single" w:color="auto" w:sz="4" w:space="0"/>
            </w:tcBorders>
            <w:vAlign w:val="center"/>
          </w:tcPr>
          <w:p w14:paraId="5D105C1C">
            <w:pPr>
              <w:widowControl/>
              <w:jc w:val="left"/>
              <w:rPr>
                <w:rFonts w:ascii="宋体" w:hAnsi="宋体" w:eastAsia="宋体" w:cs="宋体"/>
                <w:kern w:val="0"/>
                <w:szCs w:val="21"/>
              </w:rPr>
            </w:pPr>
          </w:p>
        </w:tc>
        <w:tc>
          <w:tcPr>
            <w:tcW w:w="1420" w:type="dxa"/>
            <w:vMerge w:val="continue"/>
            <w:tcBorders>
              <w:top w:val="nil"/>
              <w:left w:val="single" w:color="auto" w:sz="4" w:space="0"/>
              <w:bottom w:val="single" w:color="auto" w:sz="4" w:space="0"/>
              <w:right w:val="single" w:color="auto" w:sz="4" w:space="0"/>
            </w:tcBorders>
            <w:vAlign w:val="center"/>
          </w:tcPr>
          <w:p w14:paraId="57AA8F76">
            <w:pPr>
              <w:widowControl/>
              <w:jc w:val="left"/>
              <w:rPr>
                <w:rFonts w:ascii="宋体" w:hAnsi="宋体" w:eastAsia="宋体" w:cs="宋体"/>
                <w:kern w:val="0"/>
                <w:sz w:val="24"/>
                <w:szCs w:val="24"/>
              </w:rPr>
            </w:pPr>
          </w:p>
        </w:tc>
        <w:tc>
          <w:tcPr>
            <w:tcW w:w="7088" w:type="dxa"/>
            <w:tcBorders>
              <w:top w:val="nil"/>
              <w:left w:val="nil"/>
              <w:bottom w:val="single" w:color="auto" w:sz="4" w:space="0"/>
              <w:right w:val="single" w:color="auto" w:sz="4" w:space="0"/>
            </w:tcBorders>
            <w:shd w:val="clear" w:color="000000" w:fill="FFFFFF"/>
            <w:vAlign w:val="center"/>
          </w:tcPr>
          <w:p w14:paraId="454E9448">
            <w:pPr>
              <w:widowControl/>
              <w:jc w:val="left"/>
              <w:rPr>
                <w:rFonts w:ascii="宋体" w:hAnsi="宋体" w:eastAsia="宋体" w:cs="宋体"/>
                <w:kern w:val="0"/>
                <w:szCs w:val="21"/>
              </w:rPr>
            </w:pPr>
            <w:r>
              <w:rPr>
                <w:rFonts w:hint="eastAsia" w:ascii="宋体" w:hAnsi="宋体" w:eastAsia="宋体" w:cs="宋体"/>
                <w:kern w:val="0"/>
                <w:szCs w:val="21"/>
              </w:rPr>
              <w:t>往来管理主要是针对同一科目的借贷方发生数据之间进行勾对处理，包括：核销对象设置、期初未达录入、核销处理、账龄分析，并在此基础提供核销余额表、核销情况查询等功能。往来核销时提供自动红蓝对冲、核销处理的全选全销等操作。</w:t>
            </w:r>
          </w:p>
        </w:tc>
      </w:tr>
      <w:tr w14:paraId="4BC39466">
        <w:tblPrEx>
          <w:tblCellMar>
            <w:top w:w="0" w:type="dxa"/>
            <w:left w:w="108" w:type="dxa"/>
            <w:bottom w:w="0" w:type="dxa"/>
            <w:right w:w="108" w:type="dxa"/>
          </w:tblCellMar>
        </w:tblPrEx>
        <w:trPr>
          <w:trHeight w:val="1020"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2D50D0B8">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20" w:type="dxa"/>
            <w:tcBorders>
              <w:top w:val="nil"/>
              <w:left w:val="nil"/>
              <w:bottom w:val="single" w:color="auto" w:sz="4" w:space="0"/>
              <w:right w:val="single" w:color="auto" w:sz="4" w:space="0"/>
            </w:tcBorders>
            <w:shd w:val="clear" w:color="000000" w:fill="FFFFFF"/>
            <w:vAlign w:val="center"/>
          </w:tcPr>
          <w:p w14:paraId="1063F15F">
            <w:pPr>
              <w:widowControl/>
              <w:jc w:val="center"/>
              <w:rPr>
                <w:rFonts w:ascii="宋体" w:hAnsi="宋体" w:eastAsia="宋体" w:cs="宋体"/>
                <w:kern w:val="0"/>
                <w:sz w:val="24"/>
                <w:szCs w:val="24"/>
              </w:rPr>
            </w:pPr>
            <w:r>
              <w:rPr>
                <w:rFonts w:hint="eastAsia" w:ascii="宋体" w:hAnsi="宋体" w:eastAsia="宋体" w:cs="宋体"/>
                <w:kern w:val="0"/>
                <w:sz w:val="24"/>
                <w:szCs w:val="24"/>
              </w:rPr>
              <w:t>固定资产</w:t>
            </w:r>
          </w:p>
        </w:tc>
        <w:tc>
          <w:tcPr>
            <w:tcW w:w="7088" w:type="dxa"/>
            <w:tcBorders>
              <w:top w:val="nil"/>
              <w:left w:val="nil"/>
              <w:bottom w:val="single" w:color="auto" w:sz="4" w:space="0"/>
              <w:right w:val="single" w:color="auto" w:sz="4" w:space="0"/>
            </w:tcBorders>
            <w:shd w:val="clear" w:color="000000" w:fill="FFFFFF"/>
            <w:vAlign w:val="center"/>
          </w:tcPr>
          <w:p w14:paraId="652F8AC6">
            <w:pPr>
              <w:widowControl/>
              <w:jc w:val="left"/>
              <w:rPr>
                <w:rFonts w:ascii="宋体" w:hAnsi="宋体" w:eastAsia="宋体" w:cs="宋体"/>
                <w:kern w:val="0"/>
                <w:szCs w:val="21"/>
              </w:rPr>
            </w:pPr>
            <w:r>
              <w:rPr>
                <w:rFonts w:hint="eastAsia" w:ascii="宋体" w:hAnsi="宋体" w:eastAsia="宋体" w:cs="宋体"/>
                <w:kern w:val="0"/>
                <w:szCs w:val="21"/>
              </w:rPr>
              <w:t>固定资产管理支持医院固定资产及无形资产的日常核算，满足院内外多账簿固定资产核算，满足医院对固定资产及无形资产的资产卡片、资产变动、资产减少、资产处置、资产盘点、资产调动、资产拆分合并、月末处理、报表分析的需求。</w:t>
            </w:r>
          </w:p>
        </w:tc>
      </w:tr>
      <w:tr w14:paraId="700A8B45">
        <w:tblPrEx>
          <w:tblCellMar>
            <w:top w:w="0" w:type="dxa"/>
            <w:left w:w="108" w:type="dxa"/>
            <w:bottom w:w="0" w:type="dxa"/>
            <w:right w:w="108" w:type="dxa"/>
          </w:tblCellMar>
        </w:tblPrEx>
        <w:trPr>
          <w:trHeight w:val="675" w:hRule="atLeast"/>
        </w:trPr>
        <w:tc>
          <w:tcPr>
            <w:tcW w:w="707" w:type="dxa"/>
            <w:tcBorders>
              <w:top w:val="nil"/>
              <w:left w:val="single" w:color="auto" w:sz="8" w:space="0"/>
              <w:bottom w:val="single" w:color="auto" w:sz="4" w:space="0"/>
              <w:right w:val="single" w:color="auto" w:sz="4" w:space="0"/>
            </w:tcBorders>
            <w:vAlign w:val="center"/>
          </w:tcPr>
          <w:p w14:paraId="72C4AF22">
            <w:pPr>
              <w:widowControl/>
              <w:jc w:val="left"/>
              <w:rPr>
                <w:rFonts w:ascii="宋体" w:hAnsi="宋体" w:eastAsia="宋体" w:cs="宋体"/>
                <w:kern w:val="0"/>
                <w:szCs w:val="21"/>
              </w:rPr>
            </w:pPr>
            <w:r>
              <w:rPr>
                <w:rFonts w:hint="eastAsia" w:ascii="宋体" w:hAnsi="宋体" w:eastAsia="宋体" w:cs="宋体"/>
                <w:kern w:val="0"/>
                <w:szCs w:val="21"/>
              </w:rPr>
              <w:t>5</w:t>
            </w:r>
          </w:p>
        </w:tc>
        <w:tc>
          <w:tcPr>
            <w:tcW w:w="1420" w:type="dxa"/>
            <w:tcBorders>
              <w:top w:val="nil"/>
              <w:left w:val="single" w:color="auto" w:sz="4" w:space="0"/>
              <w:bottom w:val="single" w:color="auto" w:sz="4" w:space="0"/>
              <w:right w:val="single" w:color="auto" w:sz="4" w:space="0"/>
            </w:tcBorders>
            <w:vAlign w:val="center"/>
          </w:tcPr>
          <w:p w14:paraId="7E7F9C0A">
            <w:pPr>
              <w:widowControl/>
              <w:jc w:val="left"/>
              <w:rPr>
                <w:rFonts w:ascii="宋体" w:hAnsi="宋体" w:eastAsia="宋体" w:cs="宋体"/>
                <w:kern w:val="0"/>
                <w:sz w:val="24"/>
                <w:szCs w:val="24"/>
              </w:rPr>
            </w:pPr>
            <w:r>
              <w:rPr>
                <w:rFonts w:hint="eastAsia" w:ascii="宋体" w:hAnsi="宋体" w:eastAsia="宋体" w:cs="宋体"/>
                <w:kern w:val="0"/>
                <w:sz w:val="24"/>
                <w:szCs w:val="24"/>
              </w:rPr>
              <w:t>报销管理</w:t>
            </w:r>
          </w:p>
        </w:tc>
        <w:tc>
          <w:tcPr>
            <w:tcW w:w="7088" w:type="dxa"/>
            <w:tcBorders>
              <w:top w:val="nil"/>
              <w:left w:val="nil"/>
              <w:bottom w:val="single" w:color="auto" w:sz="4" w:space="0"/>
              <w:right w:val="single" w:color="auto" w:sz="4" w:space="0"/>
            </w:tcBorders>
            <w:shd w:val="clear" w:color="000000" w:fill="FFFFFF"/>
            <w:vAlign w:val="center"/>
          </w:tcPr>
          <w:p w14:paraId="00923308">
            <w:pPr>
              <w:widowControl/>
              <w:jc w:val="left"/>
              <w:rPr>
                <w:rFonts w:ascii="宋体" w:hAnsi="宋体" w:eastAsia="宋体" w:cs="宋体"/>
                <w:kern w:val="0"/>
                <w:szCs w:val="21"/>
              </w:rPr>
            </w:pPr>
            <w:r>
              <w:rPr>
                <w:rFonts w:hint="eastAsia" w:ascii="宋体" w:hAnsi="宋体" w:eastAsia="宋体" w:cs="微软雅黑"/>
                <w:color w:val="000000"/>
                <w:kern w:val="0"/>
                <w:szCs w:val="21"/>
                <w:lang w:bidi="ar"/>
              </w:rPr>
              <w:t>报销管理建立全院级报销业务平台，通过PC端及手机端进行系统接入，以OCR等新技术促进报销业务全流程、报销场景全覆盖、管控手段深度融合的报销管理新模式。打通报销业务从费用申请--预算关联--消费记录--报销单据--主管审批--出纳支付--财务记账的报销业务全过程。将报销管理制度嵌入到系统中并与预算管理系统集成，报销业务受预算管控，与财务系统集成支付完成后自动生成相关凭证。从而使医院报销业务在信息系统中制度化、流程化、表单化，以实现报销费用控制的闭环管理。支持对发票库的管理，支持发票查重验真。支持通过发票发起报销单。</w:t>
            </w:r>
          </w:p>
        </w:tc>
      </w:tr>
      <w:tr w14:paraId="163B0CFF">
        <w:tblPrEx>
          <w:tblCellMar>
            <w:top w:w="0" w:type="dxa"/>
            <w:left w:w="108" w:type="dxa"/>
            <w:bottom w:w="0" w:type="dxa"/>
            <w:right w:w="108" w:type="dxa"/>
          </w:tblCellMar>
        </w:tblPrEx>
        <w:trPr>
          <w:trHeight w:val="675" w:hRule="atLeast"/>
        </w:trPr>
        <w:tc>
          <w:tcPr>
            <w:tcW w:w="707" w:type="dxa"/>
            <w:tcBorders>
              <w:top w:val="nil"/>
              <w:left w:val="single" w:color="auto" w:sz="8" w:space="0"/>
              <w:bottom w:val="single" w:color="auto" w:sz="4" w:space="0"/>
              <w:right w:val="single" w:color="auto" w:sz="4" w:space="0"/>
            </w:tcBorders>
            <w:vAlign w:val="center"/>
          </w:tcPr>
          <w:p w14:paraId="6D00315D">
            <w:pPr>
              <w:widowControl/>
              <w:jc w:val="left"/>
              <w:rPr>
                <w:rFonts w:ascii="宋体" w:hAnsi="宋体" w:eastAsia="宋体" w:cs="宋体"/>
                <w:kern w:val="0"/>
                <w:szCs w:val="21"/>
              </w:rPr>
            </w:pPr>
            <w:r>
              <w:rPr>
                <w:rFonts w:hint="eastAsia" w:ascii="宋体" w:hAnsi="宋体" w:eastAsia="宋体" w:cs="宋体"/>
                <w:kern w:val="0"/>
                <w:szCs w:val="21"/>
              </w:rPr>
              <w:t>6</w:t>
            </w:r>
          </w:p>
        </w:tc>
        <w:tc>
          <w:tcPr>
            <w:tcW w:w="1420" w:type="dxa"/>
            <w:tcBorders>
              <w:top w:val="nil"/>
              <w:left w:val="single" w:color="auto" w:sz="4" w:space="0"/>
              <w:bottom w:val="single" w:color="auto" w:sz="4" w:space="0"/>
              <w:right w:val="single" w:color="auto" w:sz="4" w:space="0"/>
            </w:tcBorders>
            <w:vAlign w:val="center"/>
          </w:tcPr>
          <w:p w14:paraId="3B72B68B">
            <w:pPr>
              <w:widowControl/>
              <w:jc w:val="left"/>
              <w:rPr>
                <w:rFonts w:ascii="宋体" w:hAnsi="宋体" w:eastAsia="宋体" w:cs="宋体"/>
                <w:kern w:val="0"/>
                <w:sz w:val="24"/>
                <w:szCs w:val="24"/>
              </w:rPr>
            </w:pPr>
            <w:r>
              <w:rPr>
                <w:rFonts w:hint="eastAsia" w:ascii="宋体" w:hAnsi="宋体" w:eastAsia="宋体" w:cs="宋体"/>
                <w:kern w:val="0"/>
                <w:sz w:val="24"/>
                <w:szCs w:val="24"/>
              </w:rPr>
              <w:t>合同管理</w:t>
            </w:r>
          </w:p>
        </w:tc>
        <w:tc>
          <w:tcPr>
            <w:tcW w:w="7088" w:type="dxa"/>
            <w:tcBorders>
              <w:top w:val="nil"/>
              <w:left w:val="nil"/>
              <w:bottom w:val="single" w:color="auto" w:sz="4" w:space="0"/>
              <w:right w:val="single" w:color="auto" w:sz="4" w:space="0"/>
            </w:tcBorders>
            <w:shd w:val="clear" w:color="000000" w:fill="FFFFFF"/>
            <w:vAlign w:val="center"/>
          </w:tcPr>
          <w:p w14:paraId="3AD1D2C8">
            <w:pPr>
              <w:widowControl/>
              <w:jc w:val="left"/>
              <w:rPr>
                <w:rFonts w:ascii="宋体" w:hAnsi="宋体" w:eastAsia="宋体"/>
                <w:bCs/>
                <w:color w:val="FF0000"/>
                <w:szCs w:val="24"/>
              </w:rPr>
            </w:pPr>
            <w:r>
              <w:rPr>
                <w:rFonts w:hint="eastAsia" w:ascii="宋体" w:hAnsi="宋体" w:eastAsia="宋体" w:cs="微软雅黑"/>
                <w:color w:val="000000"/>
                <w:kern w:val="0"/>
                <w:szCs w:val="21"/>
                <w:lang w:val="en-US" w:eastAsia="zh-CN" w:bidi="ar"/>
              </w:rPr>
              <w:t>建立全院级合同管理平台，实现合同管理多属性、合同业务全流程、合同资料全归集的目标。通过系统对合同的业务进行自动控制或提供参照，将合同管理过程中的关键动作或状态，如合同录入、保存、审批、生效、变更、冻结、废止、终止等，统一纳入系统中进行管理，并提供合同的收付款业务处理功能。实现合同签订与预算系统关联，无预算不得进行合同录入，付款与合同关联，严格按合同进度付款，使合同管理业务处理完全符合财务内部控制要求。支持对合同履行情况跟踪及管理，与预算系统、财务付款系统、固定资产、设备管理系统业务一体化，信息同步共享。可记录合同变更事项、变更前/后合同要素。支持设置各类合同预警，根据合同到期提醒规则，进行保证金归还预警、保修期到期预警、应收应付款提醒、到货提醒、到期续签等。解除和完结的合同不再预警。对医院进不同时期的合同进行多维度的统计展示，满足医院的数据统计要求。实现合同统计分析，合同类型统计，合同问题清单统计分析，合同审批各节点可视化，实现合同问题可追溯。统计当前用户合同签订科室权限范围内的当月合同起草数量、在签数量、签订完成数量等。支持对于合同信息、状态及业务流程的查询。展示付款合同、收款合同的执行情况信息，包含合同验收情况、收付款记录、付款合同保证金收款和退回记录、收款合同保证金支付和收回记录。合同执行明细数据通过其他业务系统实时回写到合同系统中</w:t>
            </w:r>
            <w:r>
              <w:rPr>
                <w:rFonts w:hint="eastAsia" w:ascii="宋体" w:hAnsi="宋体" w:eastAsia="宋体" w:cs="微软雅黑"/>
                <w:color w:val="000000"/>
                <w:kern w:val="0"/>
                <w:szCs w:val="21"/>
                <w:lang w:bidi="ar"/>
              </w:rPr>
              <w:t>。</w:t>
            </w:r>
          </w:p>
        </w:tc>
      </w:tr>
      <w:tr w14:paraId="28C5A7AE">
        <w:tblPrEx>
          <w:tblCellMar>
            <w:top w:w="0" w:type="dxa"/>
            <w:left w:w="108" w:type="dxa"/>
            <w:bottom w:w="0" w:type="dxa"/>
            <w:right w:w="108" w:type="dxa"/>
          </w:tblCellMar>
        </w:tblPrEx>
        <w:trPr>
          <w:trHeight w:val="3225" w:hRule="atLeast"/>
        </w:trPr>
        <w:tc>
          <w:tcPr>
            <w:tcW w:w="707" w:type="dxa"/>
            <w:tcBorders>
              <w:top w:val="nil"/>
              <w:left w:val="single" w:color="auto" w:sz="8" w:space="0"/>
              <w:bottom w:val="single" w:color="auto" w:sz="4" w:space="0"/>
              <w:right w:val="single" w:color="auto" w:sz="4" w:space="0"/>
            </w:tcBorders>
            <w:vAlign w:val="center"/>
          </w:tcPr>
          <w:p w14:paraId="5F8DCF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420" w:type="dxa"/>
            <w:tcBorders>
              <w:top w:val="nil"/>
              <w:left w:val="single" w:color="auto" w:sz="4" w:space="0"/>
              <w:bottom w:val="single" w:color="auto" w:sz="4" w:space="0"/>
              <w:right w:val="single" w:color="auto" w:sz="4" w:space="0"/>
            </w:tcBorders>
            <w:shd w:val="clear" w:color="000000" w:fill="FFFFFF"/>
            <w:vAlign w:val="center"/>
          </w:tcPr>
          <w:p w14:paraId="5E63544A">
            <w:pPr>
              <w:widowControl/>
              <w:jc w:val="center"/>
              <w:rPr>
                <w:rFonts w:ascii="宋体" w:hAnsi="宋体" w:eastAsia="宋体" w:cs="宋体"/>
                <w:kern w:val="0"/>
                <w:sz w:val="24"/>
                <w:szCs w:val="24"/>
              </w:rPr>
            </w:pPr>
            <w:r>
              <w:rPr>
                <w:rFonts w:hint="eastAsia" w:ascii="宋体" w:hAnsi="宋体" w:eastAsia="宋体" w:cs="宋体"/>
                <w:kern w:val="0"/>
                <w:sz w:val="24"/>
                <w:szCs w:val="24"/>
              </w:rPr>
              <w:t>成本管理</w:t>
            </w:r>
          </w:p>
        </w:tc>
        <w:tc>
          <w:tcPr>
            <w:tcW w:w="7088" w:type="dxa"/>
            <w:tcBorders>
              <w:top w:val="nil"/>
              <w:left w:val="nil"/>
              <w:bottom w:val="single" w:color="auto" w:sz="4" w:space="0"/>
              <w:right w:val="single" w:color="auto" w:sz="4" w:space="0"/>
            </w:tcBorders>
            <w:shd w:val="clear" w:color="000000" w:fill="FFFFFF"/>
            <w:vAlign w:val="center"/>
          </w:tcPr>
          <w:p w14:paraId="23A57DF1">
            <w:pPr>
              <w:widowControl/>
              <w:jc w:val="left"/>
              <w:rPr>
                <w:rFonts w:ascii="宋体" w:hAnsi="宋体" w:eastAsia="宋体" w:cs="宋体"/>
                <w:kern w:val="0"/>
                <w:szCs w:val="21"/>
              </w:rPr>
            </w:pPr>
            <w:r>
              <w:rPr>
                <w:rFonts w:hint="eastAsia" w:ascii="宋体" w:hAnsi="宋体" w:eastAsia="宋体" w:cs="宋体"/>
                <w:kern w:val="0"/>
                <w:szCs w:val="21"/>
              </w:rPr>
              <w:t>科室成本核算主要实现以科室为成本核算对象，按照一定流程和方法归集相关费用，计算科室成本的过程。采用阶梯分摊法，提供不同科目、不同科室按照不同分摊参数进行配置，按照分项逐级分步结转的方式进行逐级分摊，并支持所有分摊结果全程可追溯。</w:t>
            </w:r>
            <w:r>
              <w:rPr>
                <w:rFonts w:hint="eastAsia" w:ascii="宋体" w:hAnsi="宋体" w:eastAsia="宋体" w:cs="宋体"/>
                <w:kern w:val="0"/>
                <w:szCs w:val="21"/>
              </w:rPr>
              <w:br w:type="textWrapping"/>
            </w:r>
            <w:r>
              <w:rPr>
                <w:rFonts w:hint="eastAsia" w:ascii="宋体" w:hAnsi="宋体" w:eastAsia="宋体" w:cs="宋体"/>
                <w:kern w:val="0"/>
                <w:szCs w:val="21"/>
              </w:rPr>
              <w:t>支持提供《公立医院成本核算规范》中要求的科室成本核算报表。</w:t>
            </w:r>
            <w:r>
              <w:rPr>
                <w:rFonts w:hint="eastAsia" w:ascii="宋体" w:hAnsi="宋体" w:eastAsia="宋体" w:cs="宋体"/>
                <w:kern w:val="0"/>
                <w:szCs w:val="21"/>
              </w:rPr>
              <w:br w:type="textWrapping"/>
            </w:r>
            <w:r>
              <w:rPr>
                <w:rFonts w:hint="eastAsia" w:ascii="宋体" w:hAnsi="宋体" w:eastAsia="宋体" w:cs="宋体"/>
                <w:kern w:val="0"/>
                <w:szCs w:val="21"/>
              </w:rPr>
              <w:t>支持提供体系化的成本分析功能，主要从收益、构成、排序、单元、绩效等角度进行分析；</w:t>
            </w:r>
            <w:r>
              <w:rPr>
                <w:rFonts w:hint="eastAsia" w:ascii="宋体" w:hAnsi="宋体" w:eastAsia="宋体" w:cs="宋体"/>
                <w:kern w:val="0"/>
                <w:szCs w:val="21"/>
              </w:rPr>
              <w:br w:type="textWrapping"/>
            </w:r>
            <w:r>
              <w:rPr>
                <w:rFonts w:hint="eastAsia" w:ascii="宋体" w:hAnsi="宋体" w:eastAsia="宋体" w:cs="宋体"/>
                <w:kern w:val="0"/>
                <w:szCs w:val="21"/>
              </w:rPr>
              <w:t>能够区分医疗业务成本、医疗成本、医疗全成本、医院全成本，从集团、医院、科室及各成本核算单元进行对比、趋势分析、环比分析，同时提供成本指标分析及盈亏平衡点测算分析。</w:t>
            </w:r>
            <w:r>
              <w:rPr>
                <w:rFonts w:hint="eastAsia" w:ascii="宋体" w:hAnsi="宋体" w:eastAsia="宋体" w:cs="宋体"/>
                <w:kern w:val="0"/>
                <w:szCs w:val="21"/>
              </w:rPr>
              <w:br w:type="textWrapping"/>
            </w:r>
            <w:r>
              <w:rPr>
                <w:rFonts w:hint="eastAsia" w:ascii="宋体" w:hAnsi="宋体" w:eastAsia="宋体" w:cs="宋体"/>
                <w:kern w:val="0"/>
                <w:szCs w:val="21"/>
              </w:rPr>
              <w:t>具体功能包括：数据采集、数据归集、分摊配置、成本分摊、成本报表、医院成本分析、集团成本分析、科主任成本分析、基础设置等。</w:t>
            </w:r>
          </w:p>
        </w:tc>
      </w:tr>
      <w:tr w14:paraId="1465B9E0">
        <w:tblPrEx>
          <w:tblCellMar>
            <w:top w:w="0" w:type="dxa"/>
            <w:left w:w="108" w:type="dxa"/>
            <w:bottom w:w="0" w:type="dxa"/>
            <w:right w:w="108" w:type="dxa"/>
          </w:tblCellMar>
        </w:tblPrEx>
        <w:trPr>
          <w:trHeight w:val="5097" w:hRule="atLeast"/>
        </w:trPr>
        <w:tc>
          <w:tcPr>
            <w:tcW w:w="707" w:type="dxa"/>
            <w:tcBorders>
              <w:top w:val="nil"/>
              <w:left w:val="single" w:color="auto" w:sz="8" w:space="0"/>
              <w:bottom w:val="single" w:color="auto" w:sz="4" w:space="0"/>
              <w:right w:val="single" w:color="auto" w:sz="4" w:space="0"/>
            </w:tcBorders>
            <w:vAlign w:val="center"/>
          </w:tcPr>
          <w:p w14:paraId="07F028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20" w:type="dxa"/>
            <w:tcBorders>
              <w:top w:val="nil"/>
              <w:left w:val="single" w:color="auto" w:sz="4" w:space="0"/>
              <w:bottom w:val="single" w:color="auto" w:sz="4" w:space="0"/>
              <w:right w:val="single" w:color="auto" w:sz="4" w:space="0"/>
            </w:tcBorders>
            <w:vAlign w:val="center"/>
          </w:tcPr>
          <w:p w14:paraId="2347634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薪酬管理</w:t>
            </w:r>
          </w:p>
        </w:tc>
        <w:tc>
          <w:tcPr>
            <w:tcW w:w="7088" w:type="dxa"/>
            <w:tcBorders>
              <w:top w:val="nil"/>
              <w:left w:val="nil"/>
              <w:bottom w:val="single" w:color="auto" w:sz="4" w:space="0"/>
              <w:right w:val="single" w:color="auto" w:sz="4" w:space="0"/>
            </w:tcBorders>
            <w:shd w:val="clear" w:color="000000" w:fill="FFFFFF"/>
            <w:vAlign w:val="bottom"/>
          </w:tcPr>
          <w:p w14:paraId="04B74E18">
            <w:pPr>
              <w:widowControl/>
              <w:jc w:val="left"/>
              <w:rPr>
                <w:rFonts w:ascii="宋体" w:hAnsi="宋体" w:eastAsia="宋体" w:cs="宋体"/>
                <w:kern w:val="0"/>
                <w:szCs w:val="21"/>
              </w:rPr>
            </w:pPr>
            <w:r>
              <w:rPr>
                <w:rFonts w:hint="eastAsia" w:ascii="宋体" w:hAnsi="宋体" w:eastAsia="宋体" w:cs="宋体"/>
                <w:color w:val="000000"/>
                <w:kern w:val="0"/>
                <w:szCs w:val="21"/>
              </w:rPr>
              <w:t>智能发放集薪酬发放、绩效发放、津补贴发放、劳务发放等为一体，包含院内人员及院外人员的发放。实现新个税要求下的税金自动扣缴及移动端自助查询。主要包括基础设置、智能发放、月末结账以及相关报表查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1、工资发放：根据人员信息自动计算工资和社保，并进行发放。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2、奖金发放：实现奖金院科二级分配、奖金直接发放、奖金领用、奖金转移等。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3、津贴发放：支持各类津贴的发放。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4、劳务费发放：支持院内劳务费及院外劳务费的发放。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5、个税管理：按照新个税要求进行个税的计算，并与税务系统数据进行对比，分析差异。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6、综合查询：支持各类薪资的查询，如个人收入汇总、人员薪资结构等。                                                                            支持各业务科室主任在线进行奖金的二次分配并提交审批，可支持科室留存、科室转账等多种模式，支持对接财务系统发放；  支持对各类人员的劳务费核算，如课题劳务费等，支持对接财务系统发放；                                                                         计税管理。按照新个税要求进行个税的计算，并与税务系统数据进行对比，分析差异。</w:t>
            </w:r>
          </w:p>
        </w:tc>
      </w:tr>
      <w:tr w14:paraId="31576E35">
        <w:tblPrEx>
          <w:tblCellMar>
            <w:top w:w="0" w:type="dxa"/>
            <w:left w:w="108" w:type="dxa"/>
            <w:bottom w:w="0" w:type="dxa"/>
            <w:right w:w="108" w:type="dxa"/>
          </w:tblCellMar>
        </w:tblPrEx>
        <w:trPr>
          <w:trHeight w:val="518" w:hRule="atLeast"/>
        </w:trPr>
        <w:tc>
          <w:tcPr>
            <w:tcW w:w="707" w:type="dxa"/>
            <w:tcBorders>
              <w:top w:val="nil"/>
              <w:left w:val="single" w:color="auto" w:sz="8" w:space="0"/>
              <w:bottom w:val="single" w:color="auto" w:sz="4" w:space="0"/>
              <w:right w:val="single" w:color="auto" w:sz="4" w:space="0"/>
            </w:tcBorders>
            <w:vAlign w:val="center"/>
          </w:tcPr>
          <w:p w14:paraId="208186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420" w:type="dxa"/>
            <w:tcBorders>
              <w:top w:val="nil"/>
              <w:left w:val="single" w:color="auto" w:sz="4" w:space="0"/>
              <w:bottom w:val="single" w:color="auto" w:sz="4" w:space="0"/>
              <w:right w:val="single" w:color="auto" w:sz="4" w:space="0"/>
            </w:tcBorders>
            <w:vAlign w:val="center"/>
          </w:tcPr>
          <w:p w14:paraId="24058E7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接口费用</w:t>
            </w:r>
          </w:p>
        </w:tc>
        <w:tc>
          <w:tcPr>
            <w:tcW w:w="7088" w:type="dxa"/>
            <w:tcBorders>
              <w:top w:val="nil"/>
              <w:left w:val="nil"/>
              <w:bottom w:val="single" w:color="auto" w:sz="4" w:space="0"/>
              <w:right w:val="single" w:color="auto" w:sz="4" w:space="0"/>
            </w:tcBorders>
            <w:shd w:val="clear" w:color="000000" w:fill="FFFFFF"/>
            <w:vAlign w:val="bottom"/>
          </w:tcPr>
          <w:p w14:paraId="043854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包含：与相关系统HIS厂商,物资管理厂商相关接口费用预估。</w:t>
            </w:r>
          </w:p>
        </w:tc>
      </w:tr>
      <w:tr w14:paraId="30D7931C">
        <w:tblPrEx>
          <w:tblCellMar>
            <w:top w:w="0" w:type="dxa"/>
            <w:left w:w="108" w:type="dxa"/>
            <w:bottom w:w="0" w:type="dxa"/>
            <w:right w:w="108" w:type="dxa"/>
          </w:tblCellMar>
        </w:tblPrEx>
        <w:trPr>
          <w:trHeight w:val="1956" w:hRule="atLeast"/>
        </w:trPr>
        <w:tc>
          <w:tcPr>
            <w:tcW w:w="707" w:type="dxa"/>
            <w:tcBorders>
              <w:top w:val="nil"/>
              <w:left w:val="single" w:color="auto" w:sz="8" w:space="0"/>
              <w:bottom w:val="single" w:color="auto" w:sz="4" w:space="0"/>
              <w:right w:val="single" w:color="auto" w:sz="4" w:space="0"/>
            </w:tcBorders>
            <w:vAlign w:val="center"/>
          </w:tcPr>
          <w:p w14:paraId="0738078B">
            <w:pPr>
              <w:widowControl/>
              <w:jc w:val="center"/>
              <w:rPr>
                <w:rFonts w:ascii="宋体" w:hAnsi="宋体" w:eastAsia="宋体" w:cs="宋体"/>
                <w:color w:val="000000"/>
                <w:kern w:val="0"/>
                <w:szCs w:val="21"/>
              </w:rPr>
            </w:pPr>
            <w:bookmarkStart w:id="0" w:name="_Hlk205937018"/>
            <w:r>
              <w:rPr>
                <w:rFonts w:ascii="宋体" w:hAnsi="宋体" w:eastAsia="宋体" w:cs="宋体"/>
                <w:color w:val="000000"/>
                <w:kern w:val="0"/>
                <w:szCs w:val="21"/>
              </w:rPr>
              <w:t>10</w:t>
            </w:r>
          </w:p>
        </w:tc>
        <w:tc>
          <w:tcPr>
            <w:tcW w:w="1420" w:type="dxa"/>
            <w:tcBorders>
              <w:top w:val="nil"/>
              <w:left w:val="single" w:color="auto" w:sz="4" w:space="0"/>
              <w:right w:val="single" w:color="auto" w:sz="4" w:space="0"/>
            </w:tcBorders>
            <w:vAlign w:val="center"/>
          </w:tcPr>
          <w:p w14:paraId="238F4C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应用服务器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数据服务器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前置服务器 </w:t>
            </w:r>
            <w:r>
              <w:rPr>
                <w:rFonts w:ascii="宋体" w:hAnsi="宋体" w:eastAsia="宋体" w:cs="宋体"/>
                <w:color w:val="000000"/>
                <w:kern w:val="0"/>
                <w:sz w:val="24"/>
                <w:szCs w:val="24"/>
              </w:rPr>
              <w:t xml:space="preserve"> </w:t>
            </w:r>
          </w:p>
        </w:tc>
        <w:tc>
          <w:tcPr>
            <w:tcW w:w="7088" w:type="dxa"/>
            <w:tcBorders>
              <w:top w:val="nil"/>
              <w:left w:val="nil"/>
              <w:right w:val="single" w:color="auto" w:sz="4" w:space="0"/>
            </w:tcBorders>
            <w:shd w:val="clear" w:color="000000" w:fill="FFFFFF"/>
            <w:vAlign w:val="center"/>
          </w:tcPr>
          <w:p w14:paraId="3361774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根据医院体量和软件系统正常运行所需配置资源。</w:t>
            </w:r>
          </w:p>
        </w:tc>
      </w:tr>
      <w:bookmarkEnd w:id="0"/>
      <w:tr w14:paraId="037349FC">
        <w:tblPrEx>
          <w:tblCellMar>
            <w:top w:w="0" w:type="dxa"/>
            <w:left w:w="108" w:type="dxa"/>
            <w:bottom w:w="0" w:type="dxa"/>
            <w:right w:w="108" w:type="dxa"/>
          </w:tblCellMar>
        </w:tblPrEx>
        <w:trPr>
          <w:trHeight w:val="844" w:hRule="atLeast"/>
        </w:trPr>
        <w:tc>
          <w:tcPr>
            <w:tcW w:w="2127" w:type="dxa"/>
            <w:gridSpan w:val="2"/>
            <w:tcBorders>
              <w:top w:val="single" w:color="auto" w:sz="4" w:space="0"/>
              <w:left w:val="single" w:color="auto" w:sz="8" w:space="0"/>
              <w:bottom w:val="single" w:color="auto" w:sz="8" w:space="0"/>
              <w:right w:val="single" w:color="000000" w:sz="4" w:space="0"/>
            </w:tcBorders>
            <w:vAlign w:val="center"/>
          </w:tcPr>
          <w:p w14:paraId="4228B93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088" w:type="dxa"/>
            <w:tcBorders>
              <w:top w:val="single" w:color="auto" w:sz="4" w:space="0"/>
              <w:left w:val="nil"/>
              <w:bottom w:val="single" w:color="auto" w:sz="8" w:space="0"/>
              <w:right w:val="single" w:color="000000" w:sz="8" w:space="0"/>
            </w:tcBorders>
            <w:vAlign w:val="bottom"/>
          </w:tcPr>
          <w:p w14:paraId="5415B202">
            <w:pPr>
              <w:widowControl/>
              <w:numPr>
                <w:ilvl w:val="0"/>
                <w:numId w:val="1"/>
              </w:numPr>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本报价包含一年免费运维，期间提供合同范围内业务系统模块的升级改造，包括但不限于适应政策改变，医院管理理念提升，应对各项检查等需要进行的系统改造和提升。</w:t>
            </w:r>
          </w:p>
          <w:p w14:paraId="2F55A3A2">
            <w:pPr>
              <w:widowControl/>
              <w:numPr>
                <w:ilvl w:val="0"/>
                <w:numId w:val="1"/>
              </w:numPr>
              <w:jc w:val="left"/>
              <w:rPr>
                <w:rFonts w:hint="default" w:ascii="宋体" w:hAnsi="宋体" w:eastAsia="仿宋" w:cs="宋体"/>
                <w:color w:val="000000"/>
                <w:kern w:val="0"/>
                <w:szCs w:val="21"/>
                <w:lang w:val="en-US" w:eastAsia="zh-CN"/>
              </w:rPr>
            </w:pPr>
            <w:r>
              <w:rPr>
                <w:rFonts w:hint="eastAsia" w:ascii="宋体" w:hAnsi="宋体" w:eastAsia="宋体" w:cs="宋体"/>
                <w:color w:val="000000"/>
                <w:kern w:val="0"/>
                <w:szCs w:val="21"/>
              </w:rPr>
              <w:t>提供的产品必须为该公司产品</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不支持联合报价。</w:t>
            </w:r>
          </w:p>
        </w:tc>
      </w:tr>
    </w:tbl>
    <w:p w14:paraId="75AA106A">
      <w:pPr>
        <w:rPr>
          <w:rFonts w:ascii="宋体" w:hAnsi="宋体" w:eastAsia="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BF4A">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4662A"/>
    <w:multiLevelType w:val="singleLevel"/>
    <w:tmpl w:val="0C1466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5D"/>
    <w:rsid w:val="00004993"/>
    <w:rsid w:val="000249BF"/>
    <w:rsid w:val="00024FAE"/>
    <w:rsid w:val="00027A9E"/>
    <w:rsid w:val="000535A0"/>
    <w:rsid w:val="00084CBA"/>
    <w:rsid w:val="00086F83"/>
    <w:rsid w:val="000D6EE1"/>
    <w:rsid w:val="000E4B19"/>
    <w:rsid w:val="001536D6"/>
    <w:rsid w:val="001E18DC"/>
    <w:rsid w:val="001E319B"/>
    <w:rsid w:val="002948D8"/>
    <w:rsid w:val="00344675"/>
    <w:rsid w:val="003A7D63"/>
    <w:rsid w:val="003F5B8D"/>
    <w:rsid w:val="00406EA9"/>
    <w:rsid w:val="004174CE"/>
    <w:rsid w:val="00441F5D"/>
    <w:rsid w:val="00473B45"/>
    <w:rsid w:val="004977F5"/>
    <w:rsid w:val="004A70EC"/>
    <w:rsid w:val="005100D9"/>
    <w:rsid w:val="00513633"/>
    <w:rsid w:val="00566E87"/>
    <w:rsid w:val="005E1582"/>
    <w:rsid w:val="00600F6C"/>
    <w:rsid w:val="00616E50"/>
    <w:rsid w:val="00650038"/>
    <w:rsid w:val="006C7C31"/>
    <w:rsid w:val="00750DFC"/>
    <w:rsid w:val="0075724D"/>
    <w:rsid w:val="007817F8"/>
    <w:rsid w:val="007958A7"/>
    <w:rsid w:val="00862FFC"/>
    <w:rsid w:val="00897DC3"/>
    <w:rsid w:val="009E4E9D"/>
    <w:rsid w:val="00A56702"/>
    <w:rsid w:val="00AD45CF"/>
    <w:rsid w:val="00B43F83"/>
    <w:rsid w:val="00B603B6"/>
    <w:rsid w:val="00BD2504"/>
    <w:rsid w:val="00BF1F96"/>
    <w:rsid w:val="00C026F5"/>
    <w:rsid w:val="00D60ED6"/>
    <w:rsid w:val="00D757DD"/>
    <w:rsid w:val="00DB317A"/>
    <w:rsid w:val="00E331BC"/>
    <w:rsid w:val="00E52C7F"/>
    <w:rsid w:val="00E962D8"/>
    <w:rsid w:val="00F61A1B"/>
    <w:rsid w:val="00F84555"/>
    <w:rsid w:val="00FE740A"/>
    <w:rsid w:val="00FE7C4C"/>
    <w:rsid w:val="01A40D72"/>
    <w:rsid w:val="02121D13"/>
    <w:rsid w:val="08C276F9"/>
    <w:rsid w:val="09076C42"/>
    <w:rsid w:val="0FB00BF3"/>
    <w:rsid w:val="154E2504"/>
    <w:rsid w:val="15B64A89"/>
    <w:rsid w:val="1B1A7868"/>
    <w:rsid w:val="1BC53330"/>
    <w:rsid w:val="1BD143CB"/>
    <w:rsid w:val="2E5D564A"/>
    <w:rsid w:val="2F765A99"/>
    <w:rsid w:val="338D4C23"/>
    <w:rsid w:val="34955CF5"/>
    <w:rsid w:val="364D3AAD"/>
    <w:rsid w:val="3C260BEF"/>
    <w:rsid w:val="3CDD2778"/>
    <w:rsid w:val="424A168B"/>
    <w:rsid w:val="445552E9"/>
    <w:rsid w:val="44F3065E"/>
    <w:rsid w:val="456E705B"/>
    <w:rsid w:val="461531C8"/>
    <w:rsid w:val="4DD15782"/>
    <w:rsid w:val="4EB95BBF"/>
    <w:rsid w:val="508855CA"/>
    <w:rsid w:val="54E528AA"/>
    <w:rsid w:val="574014E1"/>
    <w:rsid w:val="5A4864BD"/>
    <w:rsid w:val="686E1C26"/>
    <w:rsid w:val="68914293"/>
    <w:rsid w:val="70F73101"/>
    <w:rsid w:val="766C1228"/>
    <w:rsid w:val="77BC475C"/>
    <w:rsid w:val="7A7430CC"/>
    <w:rsid w:val="7FF1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B表格正文"/>
    <w:basedOn w:val="1"/>
    <w:autoRedefine/>
    <w:qFormat/>
    <w:uiPriority w:val="0"/>
    <w:pPr>
      <w:widowControl/>
      <w:jc w:val="left"/>
    </w:pPr>
    <w:rPr>
      <w:rFonts w:ascii="Calibri" w:hAnsi="Calibri" w:eastAsia="黑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3534</Words>
  <Characters>3559</Characters>
  <Lines>32</Lines>
  <Paragraphs>9</Paragraphs>
  <TotalTime>14</TotalTime>
  <ScaleCrop>false</ScaleCrop>
  <LinksUpToDate>false</LinksUpToDate>
  <CharactersWithSpaces>3716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2025-08-12T16:30:00Z</dcterms:created>
  <dc:creator>yandong KING</dc:creator>
  <cp:lastModifiedBy>实心</cp:lastModifiedBy>
  <cp:lastPrinted>2025-06-16T09:14:00Z</cp:lastPrinted>
  <dcterms:modified xsi:type="dcterms:W3CDTF">2025-08-21T01:20:19Z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eyJoZGlkIjoiZDNmZGEwNmRkOTQ3MzA0OWY4NDA1MDdjZGVkZjM5NWIiLCJ1c2VySWQiOiI4NTM4MDQ4MTIifQ==</vt:lpwstr>
  </property>
  <property fmtid="{D5CDD505-2E9C-101B-9397-08002B2CF9AE}" pid="3" name="KSOProductBuildVer">
    <vt:lpwstr>2052-12.1.0.21915</vt:lpwstr>
  </property>
  <property fmtid="{D5CDD505-2E9C-101B-9397-08002B2CF9AE}" pid="4" name="ICV">
    <vt:lpwstr>F468E99572FA4A39BC517F9BF1BE4575_12</vt:lpwstr>
  </property>
</Properties>
</file>